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cs="新細明體"/>
          <w:color w:val="000000"/>
          <w:sz w:val="32"/>
          <w:szCs w:val="32"/>
          <w:shd w:val="clear" w:color="090000" w:fill="auto"/>
        </w:rPr>
      </w:pPr>
      <w:bookmarkStart w:id="0" w:name="_GoBack"/>
      <w:bookmarkEnd w:id="0"/>
      <w:r>
        <w:rPr>
          <w:rFonts w:ascii="新細明體" w:hAnsi="新細明體" w:eastAsia="新細明體" w:cs="新細明體"/>
          <w:b/>
          <w:color w:val="000000"/>
          <w:sz w:val="32"/>
          <w:szCs w:val="32"/>
          <w:shd w:val="clear" w:color="090000" w:fill="auto"/>
        </w:rPr>
        <w:t>合歡山</w:t>
      </w:r>
      <w:r>
        <w:rPr>
          <w:rFonts w:hint="eastAsia" w:ascii="新細明體" w:hAnsi="新細明體" w:eastAsia="新細明體" w:cs="新細明體"/>
          <w:b/>
          <w:color w:val="000000"/>
          <w:sz w:val="32"/>
          <w:szCs w:val="32"/>
          <w:shd w:val="clear" w:color="090000" w:fill="auto"/>
          <w:lang w:eastAsia="zh-TW"/>
        </w:rPr>
        <w:t>國際</w:t>
      </w:r>
      <w:r>
        <w:rPr>
          <w:rFonts w:ascii="新細明體" w:hAnsi="新細明體" w:eastAsia="新細明體" w:cs="新細明體"/>
          <w:b/>
          <w:color w:val="000000"/>
          <w:sz w:val="32"/>
          <w:szCs w:val="32"/>
          <w:shd w:val="clear" w:color="090000" w:fill="auto"/>
        </w:rPr>
        <w:t>暗空公園管理公約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合歡山國際暗空公園雖絕大部分屬南投縣界，但管理機關分屬中央地方，倡議者來自民間，影響所及又不僅限於南投一地。故比照IDA利害關係人(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stakeholders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)共同推動暗空保育之精神，以公約方式表達遵守規範與協作之意願。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第１條（目的）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為保護合歡山暗空景觀及確保相關各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主要關係人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共同協作，特制定本公約。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第2條（</w:t>
      </w:r>
      <w:r>
        <w:rPr>
          <w:rFonts w:hint="eastAsia"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  <w:lang w:eastAsia="zh-TW"/>
        </w:rPr>
        <w:t>主要關係人</w:t>
      </w: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本公約之主要關係人為南投縣政府、太魯閣國家公園管理處、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行政院農業委員會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林務局東勢林區管理處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清境觀光協會與台灣星空守護聯盟。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第3條（詞彙定義）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本公約之用詞定義如下：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1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、公園：合歡山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國際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暗空公園。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2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、國際暗空協會（International Dark-Sky Association, IDA）：總部設於美國亞利桑那州，致力於保護夜間暗空環境的國際非營利組織。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3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、光害：係指因空氣中之分子或塵埃，使得人工之照明因反射、漫射等原因，產生散亂光線，在自然狀態下，夜空之底色變得過亮、看不清楚星星之狀態，稱之為光害。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4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、人造光源：由人類製造出來的發光器具。隨著人類文明、科學技術的發展，所製造出來的各種發光源。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5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、室內照明：指被牆壁所包圍建築物之內部照明。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6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、室外照明：指室內照明以外之所有照明，包含以廣告或裝飾之發光設備等。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7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、完全遮罩：發光源水平線以上遮蔽無光通量。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8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、發光標示：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以任何光源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(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如LED等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)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所排列之看板、文字、圖示等標示物。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第4條（適用範圍）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公園劃定之區域，自台14甲線22.1公里處至台14甲線37.1公里處，以道路中心線外推左右各500公尺，區域內包含鳶峰停車場、昆陽停車場、武嶺停車場、合歡山莊、松雪樓、滑雪山莊、小風口停車場等。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第5條（共同目標）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本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約之各方願意在兼顧安全之前提下，盡量節制光源，充分考慮功率、色溫及使用時間，以符合國際暗空協會（IDA）智慧照明之精神。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第6條（公園境內之移動照明守則）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Calibri" w:hAnsi="Calibri" w:eastAsia="Calibri" w:cs="Calibri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公園內之照明活動</w:t>
      </w:r>
      <w:r>
        <w:rPr>
          <w:rFonts w:ascii="Calibri" w:hAnsi="Calibri" w:eastAsia="Calibri" w:cs="Calibri"/>
          <w:color w:val="000000"/>
          <w:sz w:val="24"/>
          <w:szCs w:val="24"/>
          <w:shd w:val="clear" w:color="090000" w:fill="auto"/>
        </w:rPr>
        <w:t>行為守則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如下</w:t>
      </w:r>
      <w:r>
        <w:rPr>
          <w:rFonts w:ascii="Calibri" w:hAnsi="Calibri" w:eastAsia="Calibri" w:cs="Calibri"/>
          <w:color w:val="000000"/>
          <w:sz w:val="24"/>
          <w:szCs w:val="24"/>
          <w:shd w:val="clear" w:color="090000" w:fill="auto"/>
        </w:rPr>
        <w:t>: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1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、公園內之道路、停車場之照明應保持現況以不增設為原則，道路標示、標誌、標線可以反光材料或微光鋪面加強夜間行車安全。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2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、入園後車輛視天候與路況甚用車燈、霧燈，如非必要應盡量避免使用遠光燈。車輛停妥後必須關閉車燈。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3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、投光機、探照燈、聚光燈、雷射燈、舞台用投射燈、照明燈等設備於室外使用時，禁止朝向水平上方照射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。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但</w:t>
      </w:r>
      <w:r>
        <w:rPr>
          <w:rFonts w:hint="eastAsia" w:ascii="新細明體" w:hAnsi="新細明體" w:eastAsia="新細明體" w:cs="新細明體"/>
          <w:sz w:val="24"/>
          <w:szCs w:val="24"/>
        </w:rPr>
        <w:t>非連續使用或明顯可判斷其光源為水平線以下者除外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4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、公園內禁用強光初始流明超出500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lm之手電筒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，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其他手電筒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使用時僅允許朝地面照明。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5、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公園內行走建議使用紅色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燈具。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6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、指星筆的雷射光束僅允許點放照射，點放時間不超過一秒，不得持續照射。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7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、除緊急狀況外，禁止任何可攜式光源直射天空。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FF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第7條（公共照明基準）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公園內公共照明設置基準如下：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1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、室內照明：需大量使用光源時，應考量利用窗簾，百葉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窗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葉片，雙層隔窗等遮蔽物，盡可能不要將光線外洩至屋外。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left="283" w:hanging="283" w:hangingChars="118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2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、室外照明：相對色溫（CCT）不得超出3000K。初始流明小於或等於500lm可因特殊用途而未被遮罩。初始流明大於500lm須完全遮罩；並適當使用動作感應開關控制，且在啟動光源後5分鐘內自動關閉。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3、發光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標示與使用時間：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firstLine="240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A. 日落後一小時至日出前一小時不得使用。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firstLine="240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B. 發光顯示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器光源建議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為單色且背景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為黑色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firstLine="240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C. 日落後的明視度不得超出100 nits（每平方公尺100 燭光(cd/㎡)）。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firstLine="240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D. 個別標示的發光表面區域不得超出200平方英尺（18.6平方公尺）。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ind w:firstLine="240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第8條（商業照明）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公園內商業照明規範如下: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5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1、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看板招牌等照明禁止由下往上投射燈光，並禁用內部照明式燈箱。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5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2、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室外商業投射光源，禁止朝向水平上方照射.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5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3、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戶外活動禁止使用煙火，火把等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活動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5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第9條（管理小組）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園依公約設置管理小組，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園內各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主要關係人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為小組當然成員，必要時得聘請專家加入運作，其任務如下：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1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、如實盤點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燈具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登錄，並提交IDA所需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之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報表。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2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、年度活動之規劃及暗空理念之宣導。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3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、支援其他暗空相關活動。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第10條（新設照明許可）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園內室外新增之常設照明燈具，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宜彙整通知管理小組，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並以最低限度使用為原則。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但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緊急救難用途燈具不在此限。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第11條（經費及人力）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本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公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約之各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主要關係人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建請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編列經費與人力協助暗空公園之永續經營。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cs="新細明體"/>
          <w:color w:val="000000"/>
          <w:sz w:val="24"/>
          <w:szCs w:val="24"/>
          <w:shd w:val="clear" w:color="090000" w:fill="auto"/>
        </w:rPr>
      </w:pP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b/>
          <w:color w:val="000000"/>
          <w:sz w:val="24"/>
          <w:szCs w:val="24"/>
          <w:shd w:val="clear" w:color="090000" w:fill="auto"/>
        </w:rPr>
        <w:t>第12條（施行日期）</w:t>
      </w:r>
    </w:p>
    <w:p>
      <w:pPr>
        <w:widowControl w:val="0"/>
        <w:pBdr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between w:val="single" w:color="auto" w:sz="0" w:space="0"/>
        </w:pBdr>
        <w:shd w:val="clear" w:color="040000" w:fill="auto"/>
        <w:jc w:val="left"/>
        <w:rPr>
          <w:rFonts w:ascii="新細明體" w:hAnsi="新細明體" w:cs="新細明體"/>
          <w:color w:val="000000"/>
          <w:sz w:val="24"/>
          <w:szCs w:val="24"/>
          <w:shd w:val="clear" w:color="090000" w:fill="auto"/>
        </w:rPr>
      </w:pP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本公約自各</w:t>
      </w:r>
      <w:r>
        <w:rPr>
          <w:rFonts w:hint="eastAsia" w:ascii="新細明體" w:hAnsi="新細明體" w:eastAsia="新細明體" w:cs="新細明體"/>
          <w:color w:val="000000"/>
          <w:sz w:val="24"/>
          <w:szCs w:val="24"/>
          <w:shd w:val="clear" w:color="090000" w:fill="auto"/>
          <w:lang w:eastAsia="zh-TW"/>
        </w:rPr>
        <w:t>主要關係人</w:t>
      </w:r>
      <w:r>
        <w:rPr>
          <w:rFonts w:ascii="新細明體" w:hAnsi="新細明體" w:eastAsia="新細明體" w:cs="新細明體"/>
          <w:color w:val="000000"/>
          <w:sz w:val="24"/>
          <w:szCs w:val="24"/>
          <w:shd w:val="clear" w:color="090000" w:fill="auto"/>
        </w:rPr>
        <w:t>簽署後即起實施。</w:t>
      </w:r>
    </w:p>
    <w:p>
      <w:pPr>
        <w:rPr>
          <w:rFonts w:ascii="新細明體" w:hAnsi="新細明體" w:cs="新細明體"/>
          <w:color w:val="000000"/>
          <w:sz w:val="24"/>
          <w:szCs w:val="24"/>
          <w:shd w:val="clear" w:color="090000" w:fill="auto"/>
          <w:lang w:eastAsia="zh-TW"/>
        </w:rPr>
      </w:pPr>
    </w:p>
    <w:p>
      <w:pPr>
        <w:rPr>
          <w:rFonts w:ascii="新細明體" w:hAnsi="新細明體" w:cs="新細明體"/>
          <w:color w:val="000000"/>
          <w:sz w:val="24"/>
          <w:szCs w:val="24"/>
          <w:shd w:val="clear" w:color="090000" w:fill="auto"/>
          <w:lang w:eastAsia="zh-TW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</w:rPr>
        <w:t>簽署人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</w:rPr>
        <w:t>南投縣政府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</w:rPr>
        <w:t>太魯閣國家公園管理處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  <w:lang w:eastAsia="zh-TW"/>
        </w:rPr>
        <w:t>行政院農業委員會</w:t>
      </w:r>
      <w:r>
        <w:rPr>
          <w:rFonts w:hint="eastAsia" w:ascii="新細明體" w:hAnsi="新細明體" w:eastAsia="新細明體" w:cs="新細明體"/>
          <w:sz w:val="24"/>
          <w:szCs w:val="24"/>
        </w:rPr>
        <w:t>林務局東勢林區管理處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  <w:lang w:eastAsia="zh-TW"/>
        </w:rPr>
        <w:t>南投縣</w:t>
      </w:r>
      <w:r>
        <w:rPr>
          <w:rFonts w:hint="eastAsia" w:ascii="新細明體" w:hAnsi="新細明體" w:eastAsia="新細明體" w:cs="新細明體"/>
          <w:sz w:val="24"/>
          <w:szCs w:val="24"/>
        </w:rPr>
        <w:t>清境觀光協會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sz w:val="24"/>
          <w:szCs w:val="24"/>
        </w:rPr>
        <w:t>台灣星空守護聯盟</w:t>
      </w: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rPr>
          <w:rFonts w:ascii="新細明體" w:hAnsi="新細明體" w:cs="新細明體"/>
          <w:sz w:val="24"/>
          <w:szCs w:val="24"/>
        </w:rPr>
      </w:pPr>
    </w:p>
    <w:p>
      <w:pPr>
        <w:jc w:val="center"/>
        <w:rPr>
          <w:rFonts w:ascii="新細明體" w:hAnsi="新細明體" w:cs="新細明體"/>
          <w:sz w:val="24"/>
          <w:szCs w:val="24"/>
        </w:rPr>
      </w:pPr>
      <w:r>
        <w:rPr>
          <w:rFonts w:hint="eastAsia" w:ascii="新細明體" w:hAnsi="新細明體" w:eastAsia="新細明體" w:cs="新細明體"/>
          <w:kern w:val="2"/>
          <w:sz w:val="24"/>
          <w:szCs w:val="24"/>
          <w:lang w:val="en-US" w:eastAsia="zh-TW" w:bidi="ar-SA"/>
        </w:rPr>
        <w:pict>
          <v:shape id="圖片框 1" o:spid="_x0000_s1026" type="#_x0000_t75" style="height:432.85pt;width:327.35pt;rotation:0f;" o:ole="f" fillcolor="#FFFFFF" filled="f" o:preferrelative="t" stroked="f" coordorigin="0,0" coordsize="21600,21600">
            <v:fill on="f" color2="#FFFFFF" focus="0%"/>
            <v:imagedata gain="65536f" blacklevel="0f" gamma="0" o:title="lighting_fixtures" r:id="rId5"/>
            <o:lock v:ext="edit" position="f" selection="f" grouping="f" rotation="f" cropping="f" text="f" aspectratio="t"/>
            <w10:wrap type="none"/>
            <w10:anchorlock/>
          </v:shape>
        </w:pict>
      </w:r>
    </w:p>
    <w:sectPr>
      <w:pgSz w:w="11906" w:h="16838"/>
      <w:pgMar w:top="1440" w:right="1800" w:bottom="1440" w:left="1800" w:header="851" w:footer="992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isplayHorizontalDrawingGridEvery w:val="1"/>
  <w:displayVerticalDrawingGridEvery w:val="1"/>
  <w:characterSpacingControl w:val="compressPunctuation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iPriority="0" w:name="heading 7"/>
    <w:lsdException w:uiPriority="0" w:name="heading 8"/>
    <w:lsdException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unhideWhenUsed="0" w:uiPriority="0" w:semiHidden="0" w:name="Strong"/>
    <w:lsdException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uiPriority w:val="0"/>
    <w:pPr>
      <w:jc w:val="both"/>
    </w:pPr>
    <w:rPr>
      <w:rFonts w:ascii="Times New Roman" w:hAnsi="Times New Roman" w:eastAsia="SimSun" w:cs="Times New Roman"/>
      <w:kern w:val="2"/>
      <w:sz w:val="21"/>
      <w:lang w:val="en-US" w:eastAsia="zh-CN" w:bidi="ar-SA"/>
    </w:rPr>
  </w:style>
  <w:style w:type="paragraph" w:styleId="2">
    <w:name w:val="heading 1"/>
    <w:basedOn w:val="3"/>
    <w:next w:val="3"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uiPriority w:val="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8">
    <w:name w:val="heading 6"/>
    <w:basedOn w:val="3"/>
    <w:next w:val="3"/>
    <w:uiPriority w:val="0"/>
    <w:pPr>
      <w:keepNext/>
      <w:keepLines/>
      <w:spacing w:before="200" w:after="40"/>
      <w:outlineLvl w:val="5"/>
    </w:pPr>
    <w:rPr>
      <w:b/>
    </w:rPr>
  </w:style>
  <w:style w:type="character" w:default="1" w:styleId="13">
    <w:name w:val="Default Paragraph Font"/>
    <w:semiHidden/>
    <w:unhideWhenUsed/>
    <w:uiPriority w:val="1"/>
  </w:style>
  <w:style w:type="paragraph" w:customStyle="1" w:styleId="3">
    <w:name w:val="內文1"/>
    <w:uiPriority w:val="0"/>
    <w:rPr>
      <w:lang w:eastAsia="zh-CN"/>
    </w:rPr>
  </w:style>
  <w:style w:type="paragraph" w:styleId="9">
    <w:name w:val="footer"/>
    <w:basedOn w:val="1"/>
    <w:link w:val="18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0">
    <w:name w:val="header"/>
    <w:basedOn w:val="1"/>
    <w:link w:val="17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1">
    <w:name w:val="Subtitle"/>
    <w:basedOn w:val="3"/>
    <w:next w:val="3"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2">
    <w:name w:val="Title"/>
    <w:basedOn w:val="3"/>
    <w:next w:val="3"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4">
    <w:name w:val="內文2"/>
    <w:hidden/>
    <w:qFormat/>
    <w:uiPriority w:val="0"/>
    <w:pPr>
      <w:widowControl w:val="0"/>
      <w:suppressAutoHyphens/>
      <w:spacing w:line="1" w:lineRule="atLeast"/>
      <w:ind w:hangingChars="1"/>
      <w:textAlignment w:val="top"/>
      <w:outlineLvl w:val="0"/>
    </w:pPr>
    <w:rPr>
      <w:rFonts w:ascii="Calibri" w:hAnsi="Calibri" w:cs="Calibri"/>
      <w:kern w:val="2"/>
      <w:position w:val="-1"/>
      <w:sz w:val="24"/>
      <w:szCs w:val="22"/>
    </w:rPr>
  </w:style>
  <w:style w:type="paragraph" w:customStyle="1" w:styleId="15">
    <w:name w:val="標題 11"/>
    <w:basedOn w:val="14"/>
    <w:next w:val="14"/>
    <w:hidden/>
    <w:qFormat/>
    <w:uiPriority w:val="0"/>
    <w:pPr>
      <w:keepNext/>
      <w:keepLines/>
      <w:spacing w:before="340" w:after="330" w:line="576" w:lineRule="auto"/>
    </w:pPr>
    <w:rPr>
      <w:b/>
      <w:kern w:val="44"/>
      <w:sz w:val="44"/>
    </w:rPr>
  </w:style>
  <w:style w:type="character" w:customStyle="1" w:styleId="16">
    <w:name w:val="預設段落字型1"/>
    <w:qFormat/>
    <w:uiPriority w:val="0"/>
    <w:rPr>
      <w:w w:val="100"/>
      <w:position w:val="-1"/>
    </w:rPr>
  </w:style>
  <w:style w:type="character" w:customStyle="1" w:styleId="17">
    <w:name w:val="頁首 字元"/>
    <w:basedOn w:val="13"/>
    <w:link w:val="10"/>
    <w:semiHidden/>
    <w:uiPriority w:val="99"/>
    <w:rPr>
      <w:kern w:val="2"/>
      <w:lang w:eastAsia="zh-CN"/>
    </w:rPr>
  </w:style>
  <w:style w:type="character" w:customStyle="1" w:styleId="18">
    <w:name w:val="頁尾 字元"/>
    <w:basedOn w:val="13"/>
    <w:link w:val="9"/>
    <w:semiHidden/>
    <w:uiPriority w:val="99"/>
    <w:rPr>
      <w:kern w:val="2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280</Words>
  <Characters>1598</Characters>
  <Lines>13</Lines>
  <Paragraphs>3</Paragraphs>
  <ScaleCrop>false</ScaleCrop>
  <LinksUpToDate>false</LinksUpToDate>
  <CharactersWithSpaces>0</CharactersWithSpaces>
  <Application>WPS Office 個人版_9.1.0.4468_{F1E327BC-269C-435d-A152-05C5408002CA}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2019-03-20T10:01:00Z</dcterms:created>
  <dc:creator>黃山</dc:creator>
  <cp:lastModifiedBy>USER</cp:lastModifiedBy>
  <dcterms:modified xsi:type="dcterms:W3CDTF">2019-03-20T13:18:17Z</dcterms:modified>
  <dc:title>合歡山暗空公園管理公約（稿）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